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D9" w:rsidRPr="00B64AD9" w:rsidRDefault="00B64AD9" w:rsidP="00B64AD9">
      <w:pPr>
        <w:ind w:left="7371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15pt;margin-top:-6.75pt;width:217.95pt;height:50.4pt;z-index:251658240" filled="f" stroked="f">
            <v:textbox>
              <w:txbxContent>
                <w:p w:rsidR="00B64AD9" w:rsidRPr="00B64AD9" w:rsidRDefault="00B64AD9">
                  <w:pPr>
                    <w:rPr>
                      <w:b/>
                    </w:rPr>
                  </w:pPr>
                  <w:r w:rsidRPr="00B64AD9">
                    <w:rPr>
                      <w:b/>
                    </w:rPr>
                    <w:t>РАССМОТРЕНО</w:t>
                  </w:r>
                </w:p>
                <w:p w:rsidR="00B64AD9" w:rsidRDefault="00B64AD9">
                  <w:r>
                    <w:t xml:space="preserve"> на заседании педагогического совета</w:t>
                  </w:r>
                </w:p>
                <w:p w:rsidR="00B64AD9" w:rsidRDefault="00B64AD9">
                  <w:r>
                    <w:t>протокол от 28.12.2014 года №7 (46)</w:t>
                  </w:r>
                </w:p>
              </w:txbxContent>
            </v:textbox>
          </v:shape>
        </w:pict>
      </w:r>
      <w:r w:rsidRPr="00B64AD9">
        <w:rPr>
          <w:b/>
        </w:rPr>
        <w:t xml:space="preserve">УТВЕРЖДЕНО </w:t>
      </w:r>
    </w:p>
    <w:p w:rsidR="00B64AD9" w:rsidRDefault="00B64AD9" w:rsidP="00B64AD9">
      <w:pPr>
        <w:ind w:left="7371"/>
      </w:pPr>
      <w:r>
        <w:t>приказом МБУ ДО ЦДТ от 29.12.2014 г. № 63-Д</w:t>
      </w:r>
    </w:p>
    <w:p w:rsidR="00727659" w:rsidRDefault="00727659" w:rsidP="00727659">
      <w:pPr>
        <w:jc w:val="center"/>
        <w:rPr>
          <w:b/>
        </w:rPr>
      </w:pPr>
    </w:p>
    <w:p w:rsidR="00D6047D" w:rsidRPr="002C3AB3" w:rsidRDefault="00D6047D" w:rsidP="00D6047D">
      <w:pPr>
        <w:pStyle w:val="a6"/>
        <w:spacing w:before="0" w:beforeAutospacing="0" w:after="0" w:afterAutospacing="0"/>
        <w:jc w:val="center"/>
      </w:pPr>
      <w:r w:rsidRPr="002C3AB3">
        <w:rPr>
          <w:rStyle w:val="a5"/>
        </w:rPr>
        <w:t>ПОЛОЖЕНИЕ</w:t>
      </w:r>
    </w:p>
    <w:p w:rsidR="00D6047D" w:rsidRDefault="00D6047D" w:rsidP="00D6047D">
      <w:pPr>
        <w:pStyle w:val="a6"/>
        <w:spacing w:before="0" w:beforeAutospacing="0" w:after="0" w:afterAutospacing="0"/>
        <w:jc w:val="center"/>
        <w:rPr>
          <w:rStyle w:val="a5"/>
        </w:rPr>
      </w:pPr>
      <w:r>
        <w:rPr>
          <w:rStyle w:val="a5"/>
        </w:rPr>
        <w:t>о выставке</w:t>
      </w:r>
      <w:r w:rsidRPr="002C3AB3">
        <w:rPr>
          <w:rStyle w:val="a5"/>
        </w:rPr>
        <w:t xml:space="preserve"> </w:t>
      </w:r>
      <w:r>
        <w:rPr>
          <w:rStyle w:val="a5"/>
        </w:rPr>
        <w:t xml:space="preserve">в </w:t>
      </w:r>
      <w:r w:rsidRPr="002C3AB3">
        <w:rPr>
          <w:rStyle w:val="a5"/>
        </w:rPr>
        <w:t>муниципально</w:t>
      </w:r>
      <w:r>
        <w:rPr>
          <w:rStyle w:val="a5"/>
        </w:rPr>
        <w:t>м</w:t>
      </w:r>
      <w:r w:rsidRPr="002C3AB3">
        <w:rPr>
          <w:rStyle w:val="a5"/>
        </w:rPr>
        <w:t xml:space="preserve"> бюджетно</w:t>
      </w:r>
      <w:r>
        <w:rPr>
          <w:rStyle w:val="a5"/>
        </w:rPr>
        <w:t>м</w:t>
      </w:r>
      <w:r w:rsidRPr="002C3AB3">
        <w:rPr>
          <w:rStyle w:val="a5"/>
        </w:rPr>
        <w:t xml:space="preserve"> учреждени</w:t>
      </w:r>
      <w:r>
        <w:rPr>
          <w:rStyle w:val="a5"/>
        </w:rPr>
        <w:t>и</w:t>
      </w:r>
      <w:r w:rsidRPr="002C3AB3">
        <w:rPr>
          <w:rStyle w:val="a5"/>
        </w:rPr>
        <w:t xml:space="preserve"> </w:t>
      </w:r>
      <w:r>
        <w:rPr>
          <w:rStyle w:val="a5"/>
        </w:rPr>
        <w:t xml:space="preserve">дополнительного образования </w:t>
      </w:r>
      <w:proofErr w:type="spellStart"/>
      <w:r>
        <w:rPr>
          <w:rStyle w:val="a5"/>
        </w:rPr>
        <w:t>Кадуйского</w:t>
      </w:r>
      <w:proofErr w:type="spellEnd"/>
      <w:r>
        <w:rPr>
          <w:rStyle w:val="a5"/>
        </w:rPr>
        <w:t xml:space="preserve"> муниципального района «Центр детского творчества» (МБУ ДО ЦДТ) </w:t>
      </w:r>
    </w:p>
    <w:p w:rsidR="00D6047D" w:rsidRDefault="00D6047D" w:rsidP="00D6047D">
      <w:pPr>
        <w:autoSpaceDE/>
        <w:autoSpaceDN/>
        <w:ind w:left="426"/>
        <w:rPr>
          <w:b/>
          <w:sz w:val="22"/>
        </w:rPr>
      </w:pPr>
    </w:p>
    <w:p w:rsidR="00D6047D" w:rsidRPr="00AF7D1B" w:rsidRDefault="00D6047D" w:rsidP="00F73300">
      <w:pPr>
        <w:numPr>
          <w:ilvl w:val="0"/>
          <w:numId w:val="1"/>
        </w:numPr>
        <w:autoSpaceDE/>
        <w:autoSpaceDN/>
        <w:rPr>
          <w:b/>
          <w:u w:val="single"/>
        </w:rPr>
      </w:pPr>
      <w:r w:rsidRPr="00AF7D1B">
        <w:rPr>
          <w:b/>
          <w:u w:val="single"/>
        </w:rPr>
        <w:t>Общие положения.</w:t>
      </w:r>
    </w:p>
    <w:p w:rsidR="00D6047D" w:rsidRPr="008C3CC0" w:rsidRDefault="00D6047D" w:rsidP="00F73300">
      <w:pPr>
        <w:numPr>
          <w:ilvl w:val="1"/>
          <w:numId w:val="1"/>
        </w:numPr>
        <w:autoSpaceDE/>
        <w:autoSpaceDN/>
        <w:jc w:val="both"/>
      </w:pPr>
      <w:proofErr w:type="gramStart"/>
      <w:r w:rsidRPr="0078180B">
        <w:t xml:space="preserve">Настоящее Положение разработано </w:t>
      </w:r>
      <w:r>
        <w:rPr>
          <w:color w:val="000000"/>
        </w:rPr>
        <w:t xml:space="preserve">в соответствии с </w:t>
      </w:r>
      <w:r>
        <w:t xml:space="preserve">Федеральным законом от 29 декабря 2012 года №273-ФЗ «Об образовании в Российской Федерации», 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29 августа 2013 года № 1008, Уставом МБУ ДО ЦДТ, утверждённым приказом управления образования </w:t>
      </w:r>
      <w:proofErr w:type="spellStart"/>
      <w:r>
        <w:t>Кадуйского</w:t>
      </w:r>
      <w:proofErr w:type="spellEnd"/>
      <w:r>
        <w:t xml:space="preserve"> муниципального района от 22.09.2014 года №207.</w:t>
      </w:r>
      <w:proofErr w:type="gramEnd"/>
    </w:p>
    <w:p w:rsidR="00D6047D" w:rsidRPr="008C3CC0" w:rsidRDefault="00D6047D" w:rsidP="00F73300">
      <w:pPr>
        <w:numPr>
          <w:ilvl w:val="1"/>
          <w:numId w:val="1"/>
        </w:numPr>
        <w:autoSpaceDE/>
        <w:autoSpaceDN/>
        <w:jc w:val="both"/>
      </w:pPr>
      <w:r w:rsidRPr="008C3CC0">
        <w:t xml:space="preserve">Выставка – это форма массовой образовательной деятельности в системе дополнительного образования детей, организованное педагогическое мероприятие. </w:t>
      </w:r>
    </w:p>
    <w:p w:rsidR="00D6047D" w:rsidRPr="008C3CC0" w:rsidRDefault="00D6047D" w:rsidP="00F73300">
      <w:pPr>
        <w:numPr>
          <w:ilvl w:val="1"/>
          <w:numId w:val="1"/>
        </w:numPr>
        <w:autoSpaceDE/>
        <w:autoSpaceDN/>
        <w:jc w:val="both"/>
      </w:pPr>
      <w:r w:rsidRPr="008C3CC0">
        <w:t>Выставки могут быть рекламные, тематические, итоговые, конкурсные, персональные.</w:t>
      </w:r>
    </w:p>
    <w:p w:rsidR="00D6047D" w:rsidRDefault="00D6047D" w:rsidP="00F73300">
      <w:pPr>
        <w:numPr>
          <w:ilvl w:val="1"/>
          <w:numId w:val="1"/>
        </w:numPr>
        <w:autoSpaceDE/>
        <w:autoSpaceDN/>
        <w:jc w:val="both"/>
      </w:pPr>
      <w:r w:rsidRPr="008C3CC0">
        <w:t>Выставка должна иметь название, композиционный центр, необходимые информационные и литературные дополнения, эстетическое оформление.</w:t>
      </w:r>
    </w:p>
    <w:p w:rsidR="00D6047D" w:rsidRPr="008C3CC0" w:rsidRDefault="00D6047D" w:rsidP="00D6047D">
      <w:pPr>
        <w:autoSpaceDE/>
        <w:autoSpaceDN/>
        <w:ind w:left="792"/>
        <w:jc w:val="both"/>
      </w:pPr>
    </w:p>
    <w:p w:rsidR="00D6047D" w:rsidRPr="00AF7D1B" w:rsidRDefault="00D6047D" w:rsidP="00F73300">
      <w:pPr>
        <w:numPr>
          <w:ilvl w:val="0"/>
          <w:numId w:val="1"/>
        </w:numPr>
        <w:autoSpaceDE/>
        <w:autoSpaceDN/>
        <w:jc w:val="both"/>
        <w:rPr>
          <w:b/>
          <w:u w:val="single"/>
        </w:rPr>
      </w:pPr>
      <w:r w:rsidRPr="00AF7D1B">
        <w:rPr>
          <w:b/>
          <w:u w:val="single"/>
        </w:rPr>
        <w:t>Назначение выставки.</w:t>
      </w:r>
    </w:p>
    <w:p w:rsidR="00D6047D" w:rsidRPr="008C3CC0" w:rsidRDefault="00D6047D" w:rsidP="00D6047D">
      <w:pPr>
        <w:autoSpaceDE/>
        <w:autoSpaceDN/>
        <w:ind w:left="426"/>
        <w:jc w:val="both"/>
      </w:pPr>
      <w:r w:rsidRPr="008C3CC0">
        <w:t xml:space="preserve">Выставка </w:t>
      </w:r>
      <w:r>
        <w:t>призвана</w:t>
      </w:r>
      <w:r w:rsidRPr="008C3CC0">
        <w:t>:</w:t>
      </w:r>
    </w:p>
    <w:p w:rsidR="00D6047D" w:rsidRPr="008C3CC0" w:rsidRDefault="00D6047D" w:rsidP="00F73300">
      <w:pPr>
        <w:numPr>
          <w:ilvl w:val="0"/>
          <w:numId w:val="2"/>
        </w:numPr>
        <w:autoSpaceDE/>
        <w:autoSpaceDN/>
        <w:jc w:val="both"/>
      </w:pPr>
      <w:r>
        <w:t>р</w:t>
      </w:r>
      <w:r w:rsidRPr="008C3CC0">
        <w:t>асширить границы образовательного процесса;</w:t>
      </w:r>
    </w:p>
    <w:p w:rsidR="00D6047D" w:rsidRPr="008C3CC0" w:rsidRDefault="00D6047D" w:rsidP="00F73300">
      <w:pPr>
        <w:numPr>
          <w:ilvl w:val="0"/>
          <w:numId w:val="2"/>
        </w:numPr>
        <w:autoSpaceDE/>
        <w:autoSpaceDN/>
        <w:jc w:val="both"/>
      </w:pPr>
      <w:r>
        <w:t>р</w:t>
      </w:r>
      <w:r w:rsidRPr="008C3CC0">
        <w:t>азвивать познавательные интересы детей;</w:t>
      </w:r>
    </w:p>
    <w:p w:rsidR="00D6047D" w:rsidRPr="008C3CC0" w:rsidRDefault="00D6047D" w:rsidP="00F73300">
      <w:pPr>
        <w:numPr>
          <w:ilvl w:val="0"/>
          <w:numId w:val="2"/>
        </w:numPr>
        <w:autoSpaceDE/>
        <w:autoSpaceDN/>
        <w:jc w:val="both"/>
      </w:pPr>
      <w:r>
        <w:t>п</w:t>
      </w:r>
      <w:r w:rsidRPr="008C3CC0">
        <w:t>оказать индивидуальные и общие результаты работы в детском объединении;</w:t>
      </w:r>
    </w:p>
    <w:p w:rsidR="00D6047D" w:rsidRPr="008C3CC0" w:rsidRDefault="00D6047D" w:rsidP="00F73300">
      <w:pPr>
        <w:numPr>
          <w:ilvl w:val="0"/>
          <w:numId w:val="2"/>
        </w:numPr>
        <w:autoSpaceDE/>
        <w:autoSpaceDN/>
        <w:jc w:val="both"/>
      </w:pPr>
      <w:r>
        <w:t>с</w:t>
      </w:r>
      <w:r w:rsidRPr="008C3CC0">
        <w:t>оздать «ситуацию успеха» для каждого ребенка, участвующего в выставке;</w:t>
      </w:r>
    </w:p>
    <w:p w:rsidR="00D6047D" w:rsidRPr="008C3CC0" w:rsidRDefault="00D6047D" w:rsidP="00F73300">
      <w:pPr>
        <w:numPr>
          <w:ilvl w:val="0"/>
          <w:numId w:val="2"/>
        </w:numPr>
        <w:autoSpaceDE/>
        <w:autoSpaceDN/>
        <w:jc w:val="both"/>
      </w:pPr>
      <w:r>
        <w:t>с</w:t>
      </w:r>
      <w:r w:rsidRPr="008C3CC0">
        <w:t>оздать условия для сплочения коллектива;</w:t>
      </w:r>
    </w:p>
    <w:p w:rsidR="00D6047D" w:rsidRDefault="00D6047D" w:rsidP="00F73300">
      <w:pPr>
        <w:numPr>
          <w:ilvl w:val="0"/>
          <w:numId w:val="2"/>
        </w:numPr>
        <w:autoSpaceDE/>
        <w:autoSpaceDN/>
        <w:jc w:val="both"/>
      </w:pPr>
      <w:r>
        <w:t>ф</w:t>
      </w:r>
      <w:r w:rsidRPr="008C3CC0">
        <w:t>ормировать у детей стремление радовать окружающих на доступном для них уровне.</w:t>
      </w:r>
    </w:p>
    <w:p w:rsidR="00D6047D" w:rsidRPr="008C3CC0" w:rsidRDefault="00D6047D" w:rsidP="00D6047D">
      <w:pPr>
        <w:autoSpaceDE/>
        <w:autoSpaceDN/>
        <w:ind w:left="1080"/>
        <w:jc w:val="both"/>
      </w:pPr>
    </w:p>
    <w:p w:rsidR="00D6047D" w:rsidRPr="00AF7D1B" w:rsidRDefault="00D6047D" w:rsidP="00F73300">
      <w:pPr>
        <w:numPr>
          <w:ilvl w:val="0"/>
          <w:numId w:val="1"/>
        </w:numPr>
        <w:autoSpaceDE/>
        <w:autoSpaceDN/>
        <w:jc w:val="both"/>
        <w:rPr>
          <w:b/>
          <w:u w:val="single"/>
        </w:rPr>
      </w:pPr>
      <w:r w:rsidRPr="00AF7D1B">
        <w:rPr>
          <w:b/>
          <w:u w:val="single"/>
        </w:rPr>
        <w:t>Требования к подготовительному этапу выставки.</w:t>
      </w:r>
    </w:p>
    <w:p w:rsidR="00D6047D" w:rsidRPr="008C3CC0" w:rsidRDefault="00D6047D" w:rsidP="00D6047D">
      <w:pPr>
        <w:ind w:left="360"/>
        <w:jc w:val="both"/>
      </w:pPr>
      <w:r w:rsidRPr="008C3CC0">
        <w:t>Подготовительный этап выставки включает в себя следующие компоненты: определение темы, места, времени (периода) проведения выставки,  составление тематико-экспозиционного плана, подбор и оформление экспонатов выставки, проведение рекламной акции выставки.</w:t>
      </w:r>
    </w:p>
    <w:p w:rsidR="00D6047D" w:rsidRDefault="00D6047D" w:rsidP="00F73300">
      <w:pPr>
        <w:numPr>
          <w:ilvl w:val="1"/>
          <w:numId w:val="4"/>
        </w:numPr>
        <w:autoSpaceDE/>
        <w:autoSpaceDN/>
        <w:ind w:left="1134" w:hanging="708"/>
        <w:jc w:val="both"/>
      </w:pPr>
      <w:r w:rsidRPr="008C3CC0">
        <w:t>При выборе темы выставки следует учитывать тему учебного года, актуальные задачи детского объединения, ведущую идею мероприятия.</w:t>
      </w:r>
    </w:p>
    <w:p w:rsidR="00D6047D" w:rsidRDefault="00D6047D" w:rsidP="00F73300">
      <w:pPr>
        <w:numPr>
          <w:ilvl w:val="1"/>
          <w:numId w:val="4"/>
        </w:numPr>
        <w:autoSpaceDE/>
        <w:autoSpaceDN/>
        <w:ind w:left="1134" w:hanging="708"/>
        <w:jc w:val="both"/>
      </w:pPr>
      <w:r w:rsidRPr="008C3CC0">
        <w:t>Местом проведения выставки могут стать: учебный кабинет дополнительного образования, выставочный зал, коридор, рекреация. Место проведения выставки должно быть соответственно оформлено (расстановка мебели, оборудования, применение драпировочных материалов, иных дополнительных реквизитов).</w:t>
      </w:r>
    </w:p>
    <w:p w:rsidR="00D6047D" w:rsidRDefault="00D6047D" w:rsidP="00F73300">
      <w:pPr>
        <w:numPr>
          <w:ilvl w:val="1"/>
          <w:numId w:val="4"/>
        </w:numPr>
        <w:autoSpaceDE/>
        <w:autoSpaceDN/>
        <w:ind w:left="1134" w:hanging="708"/>
        <w:jc w:val="both"/>
      </w:pPr>
      <w:r w:rsidRPr="008C3CC0">
        <w:t>Время проведения выставки может колебаться  от нескольких часов до нескольких месяцев  в зависимости от ее назначения.</w:t>
      </w:r>
    </w:p>
    <w:p w:rsidR="00D6047D" w:rsidRDefault="00D6047D" w:rsidP="00F73300">
      <w:pPr>
        <w:numPr>
          <w:ilvl w:val="1"/>
          <w:numId w:val="4"/>
        </w:numPr>
        <w:autoSpaceDE/>
        <w:autoSpaceDN/>
        <w:ind w:left="1134" w:hanging="708"/>
        <w:jc w:val="both"/>
      </w:pPr>
      <w:r w:rsidRPr="008C3CC0">
        <w:t>Выставочные экспонаты могут располагаться в выставочных витринах, на стендах, в шкафах, на столах, на специальных подставках.</w:t>
      </w:r>
    </w:p>
    <w:p w:rsidR="00D6047D" w:rsidRPr="008C3CC0" w:rsidRDefault="00D6047D" w:rsidP="00F73300">
      <w:pPr>
        <w:numPr>
          <w:ilvl w:val="1"/>
          <w:numId w:val="4"/>
        </w:numPr>
        <w:autoSpaceDE/>
        <w:autoSpaceDN/>
        <w:ind w:left="1134" w:hanging="708"/>
        <w:jc w:val="both"/>
      </w:pPr>
      <w:r w:rsidRPr="008C3CC0">
        <w:t>Структура тематико-экспозиционного плана выставки:</w:t>
      </w:r>
    </w:p>
    <w:p w:rsidR="00D6047D" w:rsidRPr="008C3CC0" w:rsidRDefault="00D6047D" w:rsidP="00F73300">
      <w:pPr>
        <w:numPr>
          <w:ilvl w:val="0"/>
          <w:numId w:val="3"/>
        </w:numPr>
        <w:tabs>
          <w:tab w:val="clear" w:pos="1080"/>
          <w:tab w:val="num" w:pos="1560"/>
        </w:tabs>
        <w:autoSpaceDE/>
        <w:autoSpaceDN/>
        <w:ind w:left="1560"/>
        <w:jc w:val="both"/>
      </w:pPr>
      <w:r w:rsidRPr="008C3CC0">
        <w:t>Тема выставки, место проведения;</w:t>
      </w:r>
    </w:p>
    <w:p w:rsidR="00D6047D" w:rsidRPr="008C3CC0" w:rsidRDefault="00D6047D" w:rsidP="00F73300">
      <w:pPr>
        <w:numPr>
          <w:ilvl w:val="0"/>
          <w:numId w:val="3"/>
        </w:numPr>
        <w:tabs>
          <w:tab w:val="clear" w:pos="1080"/>
          <w:tab w:val="num" w:pos="1560"/>
        </w:tabs>
        <w:autoSpaceDE/>
        <w:autoSpaceDN/>
        <w:ind w:left="1560"/>
        <w:jc w:val="both"/>
      </w:pPr>
      <w:r w:rsidRPr="008C3CC0">
        <w:t>Сроки проведения, цель выставки;</w:t>
      </w:r>
    </w:p>
    <w:p w:rsidR="00D6047D" w:rsidRPr="008C3CC0" w:rsidRDefault="00D6047D" w:rsidP="00F73300">
      <w:pPr>
        <w:numPr>
          <w:ilvl w:val="0"/>
          <w:numId w:val="3"/>
        </w:numPr>
        <w:tabs>
          <w:tab w:val="clear" w:pos="1080"/>
          <w:tab w:val="num" w:pos="1560"/>
        </w:tabs>
        <w:autoSpaceDE/>
        <w:autoSpaceDN/>
        <w:ind w:left="1560"/>
        <w:jc w:val="both"/>
      </w:pPr>
      <w:r w:rsidRPr="008C3CC0">
        <w:t>Задачи выставки, композиционное построение выставки;</w:t>
      </w:r>
    </w:p>
    <w:p w:rsidR="00D6047D" w:rsidRPr="008C3CC0" w:rsidRDefault="00D6047D" w:rsidP="00F73300">
      <w:pPr>
        <w:numPr>
          <w:ilvl w:val="0"/>
          <w:numId w:val="3"/>
        </w:numPr>
        <w:tabs>
          <w:tab w:val="clear" w:pos="1080"/>
          <w:tab w:val="num" w:pos="1560"/>
        </w:tabs>
        <w:autoSpaceDE/>
        <w:autoSpaceDN/>
        <w:ind w:left="1560"/>
        <w:jc w:val="both"/>
      </w:pPr>
      <w:r w:rsidRPr="008C3CC0">
        <w:t>Принцип расположения экспонатов;</w:t>
      </w:r>
    </w:p>
    <w:p w:rsidR="00D6047D" w:rsidRPr="008C3CC0" w:rsidRDefault="00D6047D" w:rsidP="00F73300">
      <w:pPr>
        <w:numPr>
          <w:ilvl w:val="0"/>
          <w:numId w:val="3"/>
        </w:numPr>
        <w:tabs>
          <w:tab w:val="clear" w:pos="1080"/>
          <w:tab w:val="num" w:pos="1560"/>
        </w:tabs>
        <w:autoSpaceDE/>
        <w:autoSpaceDN/>
        <w:ind w:left="1560"/>
        <w:jc w:val="both"/>
      </w:pPr>
      <w:r w:rsidRPr="008C3CC0">
        <w:t>Тематика и тип выставочных работ;</w:t>
      </w:r>
    </w:p>
    <w:p w:rsidR="00D6047D" w:rsidRPr="008C3CC0" w:rsidRDefault="00D6047D" w:rsidP="00F73300">
      <w:pPr>
        <w:numPr>
          <w:ilvl w:val="0"/>
          <w:numId w:val="3"/>
        </w:numPr>
        <w:tabs>
          <w:tab w:val="clear" w:pos="1080"/>
          <w:tab w:val="num" w:pos="1560"/>
        </w:tabs>
        <w:autoSpaceDE/>
        <w:autoSpaceDN/>
        <w:ind w:left="1560"/>
        <w:jc w:val="both"/>
      </w:pPr>
      <w:r w:rsidRPr="008C3CC0">
        <w:t>Требования к оформлению выставочных работ;</w:t>
      </w:r>
    </w:p>
    <w:p w:rsidR="00D6047D" w:rsidRPr="008C3CC0" w:rsidRDefault="00D6047D" w:rsidP="00F73300">
      <w:pPr>
        <w:numPr>
          <w:ilvl w:val="0"/>
          <w:numId w:val="3"/>
        </w:numPr>
        <w:tabs>
          <w:tab w:val="clear" w:pos="1080"/>
          <w:tab w:val="num" w:pos="1560"/>
        </w:tabs>
        <w:autoSpaceDE/>
        <w:autoSpaceDN/>
        <w:ind w:left="1560"/>
        <w:jc w:val="both"/>
      </w:pPr>
      <w:r w:rsidRPr="008C3CC0">
        <w:t>Дополнительное оформление выставки: музыкальное сопровождение (фон), различная дополнительная информация к выставке.</w:t>
      </w:r>
    </w:p>
    <w:p w:rsidR="00D6047D" w:rsidRDefault="00D6047D" w:rsidP="00F73300">
      <w:pPr>
        <w:numPr>
          <w:ilvl w:val="1"/>
          <w:numId w:val="4"/>
        </w:numPr>
        <w:autoSpaceDE/>
        <w:autoSpaceDN/>
        <w:ind w:left="1134" w:hanging="708"/>
        <w:jc w:val="both"/>
      </w:pPr>
      <w:r w:rsidRPr="008C3CC0">
        <w:lastRenderedPageBreak/>
        <w:t>При отборе выставочных работ может быть проведено их конкурсное представление, коллективное обсуждение.</w:t>
      </w:r>
    </w:p>
    <w:p w:rsidR="00D6047D" w:rsidRDefault="00D6047D" w:rsidP="00F73300">
      <w:pPr>
        <w:numPr>
          <w:ilvl w:val="1"/>
          <w:numId w:val="4"/>
        </w:numPr>
        <w:autoSpaceDE/>
        <w:autoSpaceDN/>
        <w:ind w:left="1134" w:hanging="708"/>
        <w:jc w:val="both"/>
      </w:pPr>
      <w:r w:rsidRPr="008C3CC0">
        <w:t xml:space="preserve">При оформлении выставочных работ должно быть представлено паспарту, приложена этикетка со следующей информацией: название работы, номинация, техника исполнения, используемые материалы, фамилия и имя </w:t>
      </w:r>
      <w:r>
        <w:t>автора</w:t>
      </w:r>
      <w:r w:rsidRPr="008C3CC0">
        <w:t>, его возраст, название детского объединения, фамилия и инициалы педагога.</w:t>
      </w:r>
    </w:p>
    <w:p w:rsidR="00D6047D" w:rsidRDefault="00D6047D" w:rsidP="00F73300">
      <w:pPr>
        <w:numPr>
          <w:ilvl w:val="1"/>
          <w:numId w:val="4"/>
        </w:numPr>
        <w:autoSpaceDE/>
        <w:autoSpaceDN/>
        <w:ind w:left="1134" w:hanging="708"/>
        <w:jc w:val="both"/>
      </w:pPr>
      <w:r w:rsidRPr="008C3CC0">
        <w:t>Возможны различные варианты расположения выставочных работ</w:t>
      </w:r>
      <w:r>
        <w:t>.</w:t>
      </w:r>
    </w:p>
    <w:p w:rsidR="00D6047D" w:rsidRPr="008C3CC0" w:rsidRDefault="00D6047D" w:rsidP="00F73300">
      <w:pPr>
        <w:numPr>
          <w:ilvl w:val="1"/>
          <w:numId w:val="4"/>
        </w:numPr>
        <w:autoSpaceDE/>
        <w:autoSpaceDN/>
        <w:ind w:left="1134" w:hanging="708"/>
        <w:jc w:val="both"/>
      </w:pPr>
      <w:r w:rsidRPr="008C3CC0">
        <w:t>При проведении рекламной акции могут быть подготовлены приглашения, афиши, фотоматериалы, использованы средства массовой информации, устное оповещение возможных посетителей выставки.</w:t>
      </w:r>
    </w:p>
    <w:p w:rsidR="00D6047D" w:rsidRPr="008C3CC0" w:rsidRDefault="00D6047D" w:rsidP="00D6047D">
      <w:pPr>
        <w:autoSpaceDE/>
        <w:autoSpaceDN/>
        <w:ind w:left="792"/>
        <w:jc w:val="both"/>
      </w:pPr>
    </w:p>
    <w:p w:rsidR="00D6047D" w:rsidRPr="00D9479F" w:rsidRDefault="00D6047D" w:rsidP="00F73300">
      <w:pPr>
        <w:numPr>
          <w:ilvl w:val="0"/>
          <w:numId w:val="1"/>
        </w:numPr>
        <w:autoSpaceDE/>
        <w:autoSpaceDN/>
        <w:jc w:val="both"/>
        <w:rPr>
          <w:b/>
          <w:u w:val="single"/>
        </w:rPr>
      </w:pPr>
      <w:r w:rsidRPr="00D9479F">
        <w:rPr>
          <w:b/>
          <w:u w:val="single"/>
        </w:rPr>
        <w:t>Требования к открытию и закрытию выставки.</w:t>
      </w:r>
    </w:p>
    <w:p w:rsidR="00D6047D" w:rsidRDefault="00D6047D" w:rsidP="00F73300">
      <w:pPr>
        <w:numPr>
          <w:ilvl w:val="1"/>
          <w:numId w:val="5"/>
        </w:numPr>
        <w:autoSpaceDE/>
        <w:autoSpaceDN/>
        <w:ind w:left="1134" w:hanging="708"/>
        <w:jc w:val="both"/>
      </w:pPr>
      <w:r w:rsidRPr="008C3CC0">
        <w:t>Открытие выставки – небольшой, но очень важный этап ее организации и проведения.</w:t>
      </w:r>
    </w:p>
    <w:p w:rsidR="00D6047D" w:rsidRDefault="00D6047D" w:rsidP="00F73300">
      <w:pPr>
        <w:numPr>
          <w:ilvl w:val="1"/>
          <w:numId w:val="5"/>
        </w:numPr>
        <w:autoSpaceDE/>
        <w:autoSpaceDN/>
        <w:ind w:left="1134" w:hanging="708"/>
        <w:jc w:val="both"/>
      </w:pPr>
      <w:r w:rsidRPr="008C3CC0">
        <w:t>Открытие может включать следующие элементы: вступительное слово педагога, руководства образовательного учреждения, экскурсовода выставки, презентацию содержания выставки, представление участников выставки, организационные вопросы, экскурсию по выставке, выступление творческих коллективов, театрализованное представление, соответствующее тематике выставки</w:t>
      </w:r>
      <w:r>
        <w:t>.</w:t>
      </w:r>
    </w:p>
    <w:p w:rsidR="00D6047D" w:rsidRDefault="00D6047D" w:rsidP="00F73300">
      <w:pPr>
        <w:numPr>
          <w:ilvl w:val="1"/>
          <w:numId w:val="5"/>
        </w:numPr>
        <w:autoSpaceDE/>
        <w:autoSpaceDN/>
        <w:ind w:left="1134" w:hanging="708"/>
        <w:jc w:val="both"/>
      </w:pPr>
      <w:r w:rsidRPr="008C3CC0">
        <w:t>Проведение выставки может включать следующие элементы: организацию дежурства на выставке, систематические экскурсии по выставке, опрос мнений посетителей о выставке (книга отзывов, приз зрительских симпатий, голосование в какой-либо форме).</w:t>
      </w:r>
    </w:p>
    <w:p w:rsidR="00D6047D" w:rsidRDefault="00D6047D" w:rsidP="00F73300">
      <w:pPr>
        <w:numPr>
          <w:ilvl w:val="1"/>
          <w:numId w:val="5"/>
        </w:numPr>
        <w:autoSpaceDE/>
        <w:autoSpaceDN/>
        <w:ind w:left="1134" w:hanging="708"/>
        <w:jc w:val="both"/>
      </w:pPr>
      <w:r w:rsidRPr="008C3CC0">
        <w:t>Закрытие выставки имеет очень важное организационно-педагогическое значение, позволяет подвести итоги не только данного мероприятия, но и определенного этапа работы с детьми.</w:t>
      </w:r>
    </w:p>
    <w:p w:rsidR="00D6047D" w:rsidRDefault="00D6047D" w:rsidP="00F73300">
      <w:pPr>
        <w:numPr>
          <w:ilvl w:val="1"/>
          <w:numId w:val="5"/>
        </w:numPr>
        <w:autoSpaceDE/>
        <w:autoSpaceDN/>
        <w:ind w:left="1134" w:hanging="708"/>
        <w:jc w:val="both"/>
      </w:pPr>
      <w:r w:rsidRPr="008C3CC0">
        <w:t>Закрытие выставки может включать следующие элементы: вступительное слово педагога или руководителя образовательного учреждения, подведение итогов работы выставки, награждение участников выставки, заключительное слово педагога, руководителя, детей о дальнейших перспективах работы.</w:t>
      </w:r>
    </w:p>
    <w:p w:rsidR="00D6047D" w:rsidRPr="008C3CC0" w:rsidRDefault="00D6047D" w:rsidP="00F73300">
      <w:pPr>
        <w:numPr>
          <w:ilvl w:val="1"/>
          <w:numId w:val="5"/>
        </w:numPr>
        <w:autoSpaceDE/>
        <w:autoSpaceDN/>
        <w:ind w:left="1134" w:hanging="708"/>
        <w:jc w:val="both"/>
      </w:pPr>
      <w:r w:rsidRPr="008C3CC0">
        <w:t>По итогам выставки издается приказ, оформляется итоговый паспорт</w:t>
      </w:r>
      <w:r>
        <w:t xml:space="preserve"> и (или) итоговая</w:t>
      </w:r>
      <w:r w:rsidRPr="008C3CC0">
        <w:t xml:space="preserve"> </w:t>
      </w:r>
      <w:r>
        <w:t>аналитическая</w:t>
      </w:r>
      <w:r w:rsidRPr="008C3CC0">
        <w:t xml:space="preserve"> справка.</w:t>
      </w:r>
    </w:p>
    <w:p w:rsidR="00727659" w:rsidRPr="00B344A1" w:rsidRDefault="00727659" w:rsidP="00D6047D">
      <w:pPr>
        <w:pStyle w:val="a6"/>
        <w:spacing w:before="0" w:beforeAutospacing="0" w:after="0" w:afterAutospacing="0"/>
        <w:jc w:val="center"/>
      </w:pPr>
    </w:p>
    <w:sectPr w:rsidR="00727659" w:rsidRPr="00B344A1" w:rsidSect="009360B1">
      <w:pgSz w:w="11906" w:h="16838"/>
      <w:pgMar w:top="567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60C2"/>
    <w:multiLevelType w:val="multilevel"/>
    <w:tmpl w:val="5EF66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D1927FE"/>
    <w:multiLevelType w:val="multilevel"/>
    <w:tmpl w:val="07C099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58E5A06"/>
    <w:multiLevelType w:val="multilevel"/>
    <w:tmpl w:val="35EE4EF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58260483"/>
    <w:multiLevelType w:val="hybridMultilevel"/>
    <w:tmpl w:val="66344A3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7AC473FB"/>
    <w:multiLevelType w:val="hybridMultilevel"/>
    <w:tmpl w:val="88FA74D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6"/>
  <w:proofState w:spelling="clean" w:grammar="clean"/>
  <w:defaultTabStop w:val="708"/>
  <w:characterSpacingControl w:val="doNotCompress"/>
  <w:compat/>
  <w:rsids>
    <w:rsidRoot w:val="00B64AD9"/>
    <w:rsid w:val="000D1BFA"/>
    <w:rsid w:val="001D4BE1"/>
    <w:rsid w:val="001F3566"/>
    <w:rsid w:val="00234209"/>
    <w:rsid w:val="00280D35"/>
    <w:rsid w:val="002F366F"/>
    <w:rsid w:val="003F207D"/>
    <w:rsid w:val="005727A0"/>
    <w:rsid w:val="0067064D"/>
    <w:rsid w:val="006965D5"/>
    <w:rsid w:val="00727659"/>
    <w:rsid w:val="007A7560"/>
    <w:rsid w:val="007F7605"/>
    <w:rsid w:val="00827646"/>
    <w:rsid w:val="008353C5"/>
    <w:rsid w:val="00901D97"/>
    <w:rsid w:val="009360B1"/>
    <w:rsid w:val="00A903A9"/>
    <w:rsid w:val="00B344A1"/>
    <w:rsid w:val="00B64AD9"/>
    <w:rsid w:val="00CE34C3"/>
    <w:rsid w:val="00D6047D"/>
    <w:rsid w:val="00D804CA"/>
    <w:rsid w:val="00F73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A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D1BF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64AD9"/>
    <w:pPr>
      <w:autoSpaceDE/>
      <w:autoSpaceDN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B64AD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B64AD9"/>
    <w:rPr>
      <w:b/>
      <w:bCs/>
    </w:rPr>
  </w:style>
  <w:style w:type="paragraph" w:styleId="a6">
    <w:name w:val="Normal (Web)"/>
    <w:basedOn w:val="a"/>
    <w:uiPriority w:val="99"/>
    <w:rsid w:val="00B64AD9"/>
    <w:pPr>
      <w:autoSpaceDE/>
      <w:autoSpaceDN/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B64AD9"/>
    <w:pPr>
      <w:autoSpaceDE/>
      <w:autoSpaceDN/>
      <w:ind w:left="720"/>
      <w:contextualSpacing/>
    </w:pPr>
  </w:style>
  <w:style w:type="paragraph" w:customStyle="1" w:styleId="1">
    <w:name w:val="Обычный 1"/>
    <w:basedOn w:val="a"/>
    <w:rsid w:val="00B64AD9"/>
    <w:pPr>
      <w:suppressAutoHyphens/>
      <w:autoSpaceDE/>
      <w:autoSpaceDN/>
      <w:spacing w:before="60" w:after="60" w:line="360" w:lineRule="auto"/>
      <w:ind w:firstLine="709"/>
      <w:jc w:val="both"/>
    </w:pPr>
    <w:rPr>
      <w:lang w:eastAsia="ar-SA"/>
    </w:rPr>
  </w:style>
  <w:style w:type="paragraph" w:styleId="3">
    <w:name w:val="Body Text Indent 3"/>
    <w:basedOn w:val="a"/>
    <w:link w:val="30"/>
    <w:rsid w:val="005727A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727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rsid w:val="009360B1"/>
    <w:pPr>
      <w:spacing w:after="120"/>
    </w:pPr>
    <w:rPr>
      <w:lang/>
    </w:rPr>
  </w:style>
  <w:style w:type="character" w:customStyle="1" w:styleId="a9">
    <w:name w:val="Основной текст Знак"/>
    <w:basedOn w:val="a0"/>
    <w:link w:val="a8"/>
    <w:rsid w:val="009360B1"/>
    <w:rPr>
      <w:rFonts w:ascii="Times New Roman" w:eastAsia="Times New Roman" w:hAnsi="Times New Roman" w:cs="Times New Roman"/>
      <w:sz w:val="24"/>
      <w:szCs w:val="24"/>
      <w:lang/>
    </w:rPr>
  </w:style>
  <w:style w:type="paragraph" w:styleId="aa">
    <w:name w:val="Title"/>
    <w:basedOn w:val="a"/>
    <w:link w:val="ab"/>
    <w:qFormat/>
    <w:rsid w:val="001F3566"/>
    <w:pPr>
      <w:autoSpaceDE/>
      <w:autoSpaceDN/>
      <w:jc w:val="center"/>
    </w:pPr>
  </w:style>
  <w:style w:type="character" w:customStyle="1" w:styleId="ab">
    <w:name w:val="Название Знак"/>
    <w:basedOn w:val="a0"/>
    <w:link w:val="aa"/>
    <w:rsid w:val="001F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 (веб)2"/>
    <w:basedOn w:val="a"/>
    <w:rsid w:val="008353C5"/>
    <w:pPr>
      <w:autoSpaceDE/>
      <w:autoSpaceDN/>
      <w:spacing w:after="64" w:line="283" w:lineRule="atLeast"/>
    </w:pPr>
  </w:style>
  <w:style w:type="table" w:styleId="ac">
    <w:name w:val="Table Grid"/>
    <w:basedOn w:val="a1"/>
    <w:uiPriority w:val="59"/>
    <w:rsid w:val="007A756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semiHidden/>
    <w:unhideWhenUsed/>
    <w:rsid w:val="003F20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3F20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D1BFA"/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character" w:styleId="af">
    <w:name w:val="Emphasis"/>
    <w:basedOn w:val="a0"/>
    <w:uiPriority w:val="20"/>
    <w:qFormat/>
    <w:rsid w:val="00CE34C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4049</Characters>
  <Application>Microsoft Office Word</Application>
  <DocSecurity>0</DocSecurity>
  <Lines>33</Lines>
  <Paragraphs>9</Paragraphs>
  <ScaleCrop>false</ScaleCrop>
  <Company/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2015-08-16T18:51:00Z</dcterms:created>
  <dcterms:modified xsi:type="dcterms:W3CDTF">2015-08-16T18:51:00Z</dcterms:modified>
</cp:coreProperties>
</file>